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DC" w:rsidRDefault="00AF1E2D" w:rsidP="008E3944">
      <w:pPr>
        <w:numPr>
          <w:ilvl w:val="0"/>
          <w:numId w:val="12"/>
        </w:numPr>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An </w:t>
      </w:r>
      <w:r w:rsidR="000B4BDC">
        <w:rPr>
          <w:rFonts w:ascii="Arial" w:hAnsi="Arial" w:cs="Arial"/>
          <w:bCs/>
          <w:spacing w:val="-3"/>
          <w:sz w:val="22"/>
          <w:szCs w:val="22"/>
        </w:rPr>
        <w:t xml:space="preserve">independent review </w:t>
      </w:r>
      <w:r>
        <w:rPr>
          <w:rFonts w:ascii="Arial" w:hAnsi="Arial" w:cs="Arial"/>
          <w:bCs/>
          <w:spacing w:val="-3"/>
          <w:sz w:val="22"/>
          <w:szCs w:val="22"/>
        </w:rPr>
        <w:t xml:space="preserve">was undertaken in September to October 2010 </w:t>
      </w:r>
      <w:r w:rsidR="00F52753">
        <w:rPr>
          <w:rFonts w:ascii="Arial" w:hAnsi="Arial" w:cs="Arial"/>
          <w:bCs/>
          <w:spacing w:val="-3"/>
          <w:sz w:val="22"/>
          <w:szCs w:val="22"/>
        </w:rPr>
        <w:t xml:space="preserve">of </w:t>
      </w:r>
      <w:r w:rsidR="000B4BDC">
        <w:rPr>
          <w:rFonts w:ascii="Arial" w:hAnsi="Arial" w:cs="Arial"/>
          <w:bCs/>
          <w:spacing w:val="-3"/>
          <w:sz w:val="22"/>
          <w:szCs w:val="22"/>
        </w:rPr>
        <w:t>the future of the Queensland Workplace Rights Ombudsman (the Ombudsman) and the Queensland Workplace Rights Office (QWRO).</w:t>
      </w:r>
    </w:p>
    <w:p w:rsidR="000B4BDC" w:rsidRDefault="000B4BDC" w:rsidP="008E3944">
      <w:pPr>
        <w:numPr>
          <w:ilvl w:val="0"/>
          <w:numId w:val="12"/>
        </w:numPr>
        <w:spacing w:before="240"/>
        <w:ind w:left="357" w:hanging="357"/>
        <w:jc w:val="both"/>
        <w:rPr>
          <w:rFonts w:ascii="Arial" w:hAnsi="Arial" w:cs="Arial"/>
          <w:sz w:val="22"/>
          <w:szCs w:val="22"/>
        </w:rPr>
      </w:pPr>
      <w:r>
        <w:rPr>
          <w:rFonts w:ascii="Arial" w:hAnsi="Arial" w:cs="Arial"/>
          <w:bCs/>
          <w:spacing w:val="-3"/>
          <w:sz w:val="22"/>
          <w:szCs w:val="22"/>
        </w:rPr>
        <w:t xml:space="preserve">The review was </w:t>
      </w:r>
      <w:r>
        <w:rPr>
          <w:rFonts w:ascii="Arial" w:hAnsi="Arial" w:cs="Arial"/>
          <w:sz w:val="22"/>
          <w:szCs w:val="22"/>
        </w:rPr>
        <w:t xml:space="preserve">instigated as a consequence of the changed industrial relations environment and referral of </w:t>
      </w:r>
      <w:smartTag w:uri="urn:schemas-microsoft-com:office:smarttags" w:element="State">
        <w:smartTag w:uri="urn:schemas-microsoft-com:office:smarttags" w:element="place">
          <w:r>
            <w:rPr>
              <w:rFonts w:ascii="Arial" w:hAnsi="Arial" w:cs="Arial"/>
              <w:sz w:val="22"/>
              <w:szCs w:val="22"/>
            </w:rPr>
            <w:t>Queensland</w:t>
          </w:r>
        </w:smartTag>
      </w:smartTag>
      <w:r>
        <w:rPr>
          <w:rFonts w:ascii="Arial" w:hAnsi="Arial" w:cs="Arial"/>
          <w:sz w:val="22"/>
          <w:szCs w:val="22"/>
        </w:rPr>
        <w:t>’s private sector industrial relat</w:t>
      </w:r>
      <w:r w:rsidR="003E6039">
        <w:rPr>
          <w:rFonts w:ascii="Arial" w:hAnsi="Arial" w:cs="Arial"/>
          <w:sz w:val="22"/>
          <w:szCs w:val="22"/>
        </w:rPr>
        <w:t>ions powers to the Commonwealth</w:t>
      </w:r>
      <w:r>
        <w:rPr>
          <w:rFonts w:ascii="Arial" w:hAnsi="Arial" w:cs="Arial"/>
          <w:sz w:val="22"/>
          <w:szCs w:val="22"/>
        </w:rPr>
        <w:t xml:space="preserve"> as well as the recommendation for a review of the Ombudsman by the Independent Review of Queensland Government Boards, Committees and Statutory Authorities conducted in 2008-2009.</w:t>
      </w:r>
    </w:p>
    <w:p w:rsidR="000B4BDC" w:rsidRDefault="000B4BDC" w:rsidP="008E3944">
      <w:pPr>
        <w:keepLines/>
        <w:numPr>
          <w:ilvl w:val="0"/>
          <w:numId w:val="12"/>
        </w:numPr>
        <w:spacing w:before="240"/>
        <w:ind w:left="357" w:hanging="357"/>
        <w:jc w:val="both"/>
        <w:rPr>
          <w:rFonts w:ascii="Arial" w:hAnsi="Arial" w:cs="Arial"/>
          <w:sz w:val="22"/>
          <w:szCs w:val="22"/>
        </w:rPr>
      </w:pPr>
      <w:r>
        <w:rPr>
          <w:rFonts w:ascii="Arial" w:hAnsi="Arial" w:cs="Arial"/>
          <w:sz w:val="22"/>
          <w:szCs w:val="22"/>
        </w:rPr>
        <w:t>The terms of reference for the review were to inquire into the achievements of the Ombudsman and QWRO and to make recommendations to the Minister about the future of the Ombudsman and the QWRO.</w:t>
      </w:r>
    </w:p>
    <w:p w:rsidR="000B4BDC" w:rsidRDefault="000B4BDC" w:rsidP="008E3944">
      <w:pPr>
        <w:keepLines/>
        <w:numPr>
          <w:ilvl w:val="0"/>
          <w:numId w:val="12"/>
        </w:numPr>
        <w:spacing w:before="240"/>
        <w:ind w:left="357" w:hanging="357"/>
        <w:jc w:val="both"/>
        <w:rPr>
          <w:rFonts w:ascii="Arial" w:hAnsi="Arial" w:cs="Arial"/>
          <w:sz w:val="22"/>
          <w:szCs w:val="22"/>
        </w:rPr>
      </w:pPr>
      <w:r>
        <w:rPr>
          <w:rFonts w:ascii="Arial" w:hAnsi="Arial" w:cs="Arial"/>
          <w:sz w:val="22"/>
          <w:szCs w:val="22"/>
        </w:rPr>
        <w:t>The review report contained 1</w:t>
      </w:r>
      <w:r w:rsidR="00D65FA7">
        <w:rPr>
          <w:rFonts w:ascii="Arial" w:hAnsi="Arial" w:cs="Arial"/>
          <w:sz w:val="22"/>
          <w:szCs w:val="22"/>
        </w:rPr>
        <w:t>7</w:t>
      </w:r>
      <w:r>
        <w:rPr>
          <w:rFonts w:ascii="Arial" w:hAnsi="Arial" w:cs="Arial"/>
          <w:sz w:val="22"/>
          <w:szCs w:val="22"/>
        </w:rPr>
        <w:t xml:space="preserve"> recommendations</w:t>
      </w:r>
      <w:r w:rsidR="003A6060">
        <w:rPr>
          <w:rFonts w:ascii="Arial" w:hAnsi="Arial" w:cs="Arial"/>
          <w:sz w:val="22"/>
          <w:szCs w:val="22"/>
        </w:rPr>
        <w:t xml:space="preserve"> with</w:t>
      </w:r>
      <w:r>
        <w:rPr>
          <w:rFonts w:ascii="Arial" w:hAnsi="Arial" w:cs="Arial"/>
          <w:sz w:val="22"/>
          <w:szCs w:val="22"/>
        </w:rPr>
        <w:t xml:space="preserve"> the main recommendation being that the QWRO cease operations.</w:t>
      </w:r>
    </w:p>
    <w:p w:rsidR="00AC0EE9" w:rsidRDefault="00AC0EE9" w:rsidP="008E3944">
      <w:pPr>
        <w:numPr>
          <w:ilvl w:val="0"/>
          <w:numId w:val="12"/>
        </w:numPr>
        <w:spacing w:before="240"/>
        <w:ind w:left="357" w:hanging="357"/>
        <w:jc w:val="both"/>
        <w:rPr>
          <w:rFonts w:ascii="Arial" w:hAnsi="Arial" w:cs="Arial"/>
          <w:sz w:val="22"/>
          <w:szCs w:val="22"/>
        </w:rPr>
      </w:pPr>
      <w:r w:rsidRPr="005F120D">
        <w:rPr>
          <w:rFonts w:ascii="Arial" w:hAnsi="Arial" w:cs="Arial"/>
          <w:sz w:val="22"/>
          <w:szCs w:val="22"/>
        </w:rPr>
        <w:t>Whil</w:t>
      </w:r>
      <w:r w:rsidR="00DC2A7F">
        <w:rPr>
          <w:rFonts w:ascii="Arial" w:hAnsi="Arial" w:cs="Arial"/>
          <w:sz w:val="22"/>
          <w:szCs w:val="22"/>
        </w:rPr>
        <w:t>e</w:t>
      </w:r>
      <w:r w:rsidRPr="005F120D">
        <w:rPr>
          <w:rFonts w:ascii="Arial" w:hAnsi="Arial" w:cs="Arial"/>
          <w:sz w:val="22"/>
          <w:szCs w:val="22"/>
        </w:rPr>
        <w:t xml:space="preserve"> the review made a case for the cessation of the role of Ombudsman and the closure of the QWRO, it </w:t>
      </w:r>
      <w:r w:rsidR="00F52753">
        <w:rPr>
          <w:rFonts w:ascii="Arial" w:hAnsi="Arial" w:cs="Arial"/>
          <w:sz w:val="22"/>
          <w:szCs w:val="22"/>
        </w:rPr>
        <w:t xml:space="preserve">was </w:t>
      </w:r>
      <w:r w:rsidRPr="005F120D">
        <w:rPr>
          <w:rFonts w:ascii="Arial" w:hAnsi="Arial" w:cs="Arial"/>
          <w:sz w:val="22"/>
          <w:szCs w:val="22"/>
        </w:rPr>
        <w:t>not considered prudent to disband this service entirely</w:t>
      </w:r>
      <w:r w:rsidR="001D2988">
        <w:rPr>
          <w:rFonts w:ascii="Arial" w:hAnsi="Arial" w:cs="Arial"/>
          <w:sz w:val="22"/>
          <w:szCs w:val="22"/>
        </w:rPr>
        <w:t xml:space="preserve"> to allow </w:t>
      </w:r>
      <w:r w:rsidRPr="005F120D">
        <w:rPr>
          <w:rFonts w:ascii="Arial" w:hAnsi="Arial" w:cs="Arial"/>
          <w:sz w:val="22"/>
          <w:szCs w:val="22"/>
        </w:rPr>
        <w:t xml:space="preserve">transition </w:t>
      </w:r>
      <w:r w:rsidR="00F52753">
        <w:rPr>
          <w:rFonts w:ascii="Arial" w:hAnsi="Arial" w:cs="Arial"/>
          <w:sz w:val="22"/>
          <w:szCs w:val="22"/>
        </w:rPr>
        <w:t xml:space="preserve">to </w:t>
      </w:r>
      <w:r w:rsidRPr="005F120D">
        <w:rPr>
          <w:rFonts w:ascii="Arial" w:hAnsi="Arial" w:cs="Arial"/>
          <w:sz w:val="22"/>
          <w:szCs w:val="22"/>
        </w:rPr>
        <w:t xml:space="preserve">the new national industrial relations system. </w:t>
      </w:r>
    </w:p>
    <w:p w:rsidR="003A6060" w:rsidRPr="00F361CE" w:rsidRDefault="003A6060" w:rsidP="008E3944">
      <w:pPr>
        <w:numPr>
          <w:ilvl w:val="0"/>
          <w:numId w:val="12"/>
        </w:numPr>
        <w:spacing w:before="120"/>
        <w:ind w:left="357" w:hanging="357"/>
        <w:jc w:val="both"/>
        <w:rPr>
          <w:rFonts w:ascii="Arial" w:hAnsi="Arial" w:cs="Arial"/>
          <w:sz w:val="22"/>
          <w:szCs w:val="22"/>
        </w:rPr>
      </w:pPr>
      <w:r w:rsidRPr="00F361CE">
        <w:rPr>
          <w:rFonts w:ascii="Arial" w:hAnsi="Arial" w:cs="Arial"/>
          <w:sz w:val="22"/>
          <w:szCs w:val="22"/>
          <w:u w:val="single"/>
        </w:rPr>
        <w:t>Cabinet</w:t>
      </w:r>
      <w:r w:rsidR="00DA66B3" w:rsidRPr="00F361CE">
        <w:rPr>
          <w:rFonts w:ascii="Arial" w:hAnsi="Arial" w:cs="Arial"/>
          <w:sz w:val="22"/>
          <w:szCs w:val="22"/>
          <w:u w:val="single"/>
        </w:rPr>
        <w:t xml:space="preserve"> </w:t>
      </w:r>
      <w:r w:rsidRPr="00F361CE">
        <w:rPr>
          <w:rFonts w:ascii="Arial" w:hAnsi="Arial" w:cs="Arial"/>
          <w:bCs/>
          <w:spacing w:val="-3"/>
          <w:sz w:val="22"/>
          <w:szCs w:val="22"/>
          <w:u w:val="single"/>
        </w:rPr>
        <w:t>noted</w:t>
      </w:r>
      <w:r w:rsidRPr="00F361CE">
        <w:rPr>
          <w:rFonts w:ascii="Arial" w:hAnsi="Arial" w:cs="Arial"/>
          <w:bCs/>
          <w:spacing w:val="-3"/>
          <w:sz w:val="22"/>
          <w:szCs w:val="22"/>
        </w:rPr>
        <w:t xml:space="preserve"> th</w:t>
      </w:r>
      <w:r w:rsidRPr="00F361CE">
        <w:rPr>
          <w:rFonts w:ascii="Arial" w:hAnsi="Arial" w:cs="Arial"/>
          <w:sz w:val="22"/>
          <w:szCs w:val="22"/>
        </w:rPr>
        <w:t xml:space="preserve">e review of the </w:t>
      </w:r>
      <w:r w:rsidR="00DA66B3" w:rsidRPr="00F361CE">
        <w:rPr>
          <w:rFonts w:ascii="Arial" w:hAnsi="Arial" w:cs="Arial"/>
          <w:bCs/>
          <w:spacing w:val="-3"/>
          <w:sz w:val="22"/>
          <w:szCs w:val="22"/>
        </w:rPr>
        <w:t>Queensland Workplace Rights Ombudsman and the Queensland Workplace Rights Office</w:t>
      </w:r>
      <w:r w:rsidR="00F361CE">
        <w:rPr>
          <w:rFonts w:ascii="Arial" w:hAnsi="Arial" w:cs="Arial"/>
          <w:bCs/>
          <w:spacing w:val="-3"/>
          <w:sz w:val="22"/>
          <w:szCs w:val="22"/>
        </w:rPr>
        <w:t>.</w:t>
      </w:r>
    </w:p>
    <w:p w:rsidR="003A6060" w:rsidRPr="005F120D" w:rsidRDefault="00DA66B3" w:rsidP="008E3944">
      <w:pPr>
        <w:numPr>
          <w:ilvl w:val="0"/>
          <w:numId w:val="12"/>
        </w:numPr>
        <w:spacing w:before="240"/>
        <w:ind w:left="357" w:hanging="357"/>
        <w:jc w:val="both"/>
        <w:rPr>
          <w:rFonts w:ascii="Arial" w:hAnsi="Arial" w:cs="Arial"/>
          <w:sz w:val="22"/>
          <w:szCs w:val="22"/>
        </w:rPr>
      </w:pPr>
      <w:r w:rsidRPr="00DA66B3">
        <w:rPr>
          <w:rFonts w:ascii="Arial" w:hAnsi="Arial" w:cs="Arial"/>
          <w:sz w:val="22"/>
          <w:szCs w:val="22"/>
          <w:u w:val="single"/>
        </w:rPr>
        <w:t xml:space="preserve">Cabinet </w:t>
      </w:r>
      <w:r w:rsidR="003A6060" w:rsidRPr="00DA66B3">
        <w:rPr>
          <w:rFonts w:ascii="Arial" w:hAnsi="Arial" w:cs="Arial"/>
          <w:sz w:val="22"/>
          <w:szCs w:val="22"/>
          <w:u w:val="single"/>
        </w:rPr>
        <w:t>endorsed</w:t>
      </w:r>
      <w:r w:rsidR="003A6060">
        <w:rPr>
          <w:rFonts w:ascii="Arial" w:hAnsi="Arial" w:cs="Arial"/>
          <w:sz w:val="22"/>
          <w:szCs w:val="22"/>
        </w:rPr>
        <w:t xml:space="preserve"> the Queensland Government response to the review of the </w:t>
      </w:r>
      <w:r>
        <w:rPr>
          <w:rFonts w:ascii="Arial" w:hAnsi="Arial" w:cs="Arial"/>
          <w:bCs/>
          <w:spacing w:val="-3"/>
          <w:sz w:val="22"/>
          <w:szCs w:val="22"/>
        </w:rPr>
        <w:t>Queensland Workplace Rights Ombudsman and the Queensland Workplace Rights Office</w:t>
      </w:r>
      <w:r w:rsidR="003A6060">
        <w:rPr>
          <w:rFonts w:ascii="Arial" w:hAnsi="Arial" w:cs="Arial"/>
          <w:sz w:val="22"/>
          <w:szCs w:val="22"/>
        </w:rPr>
        <w:t xml:space="preserve">. </w:t>
      </w:r>
    </w:p>
    <w:p w:rsidR="000B4BDC" w:rsidRPr="00B648DA" w:rsidRDefault="000B4BDC" w:rsidP="008E3944">
      <w:pPr>
        <w:keepLines/>
        <w:numPr>
          <w:ilvl w:val="0"/>
          <w:numId w:val="12"/>
        </w:numPr>
        <w:spacing w:before="360"/>
        <w:ind w:left="357" w:hanging="357"/>
        <w:jc w:val="both"/>
        <w:rPr>
          <w:rFonts w:ascii="Arial" w:hAnsi="Arial" w:cs="Arial"/>
          <w:i/>
          <w:sz w:val="22"/>
          <w:szCs w:val="22"/>
        </w:rPr>
      </w:pPr>
      <w:r w:rsidRPr="00B648DA">
        <w:rPr>
          <w:rFonts w:ascii="Arial" w:hAnsi="Arial" w:cs="Arial"/>
          <w:bCs/>
          <w:i/>
          <w:spacing w:val="-3"/>
          <w:sz w:val="22"/>
          <w:szCs w:val="22"/>
          <w:u w:val="single"/>
        </w:rPr>
        <w:t>Attachments</w:t>
      </w:r>
      <w:r w:rsidR="00DA66B3">
        <w:rPr>
          <w:rFonts w:ascii="Arial" w:hAnsi="Arial" w:cs="Arial"/>
          <w:bCs/>
          <w:i/>
          <w:spacing w:val="-3"/>
          <w:sz w:val="22"/>
          <w:szCs w:val="22"/>
          <w:u w:val="single"/>
        </w:rPr>
        <w:t>:</w:t>
      </w:r>
    </w:p>
    <w:p w:rsidR="000B4BDC" w:rsidRPr="00DA66B3" w:rsidRDefault="00131110" w:rsidP="008E3944">
      <w:pPr>
        <w:numPr>
          <w:ilvl w:val="0"/>
          <w:numId w:val="15"/>
        </w:numPr>
        <w:spacing w:before="120"/>
        <w:ind w:left="714" w:hanging="357"/>
        <w:jc w:val="both"/>
        <w:rPr>
          <w:rFonts w:ascii="Arial" w:hAnsi="Arial" w:cs="Arial"/>
          <w:sz w:val="22"/>
          <w:szCs w:val="22"/>
        </w:rPr>
      </w:pPr>
      <w:hyperlink r:id="rId7" w:history="1">
        <w:r w:rsidR="00DA66B3" w:rsidRPr="00104685">
          <w:rPr>
            <w:rStyle w:val="Hyperlink"/>
            <w:rFonts w:ascii="Arial" w:hAnsi="Arial" w:cs="Arial"/>
            <w:sz w:val="22"/>
            <w:szCs w:val="22"/>
          </w:rPr>
          <w:t xml:space="preserve">Review of the </w:t>
        </w:r>
        <w:r w:rsidR="00DA66B3" w:rsidRPr="00104685">
          <w:rPr>
            <w:rStyle w:val="Hyperlink"/>
            <w:rFonts w:ascii="Arial" w:hAnsi="Arial" w:cs="Arial"/>
            <w:bCs/>
            <w:spacing w:val="-3"/>
            <w:sz w:val="22"/>
            <w:szCs w:val="22"/>
          </w:rPr>
          <w:t>Queensland Workplace Rights Ombudsman and the Queensland Workplace Rights Office</w:t>
        </w:r>
      </w:hyperlink>
      <w:r w:rsidR="000B4BDC">
        <w:rPr>
          <w:rFonts w:ascii="Arial" w:hAnsi="Arial" w:cs="Arial"/>
          <w:bCs/>
          <w:spacing w:val="-3"/>
          <w:sz w:val="22"/>
          <w:szCs w:val="22"/>
        </w:rPr>
        <w:t>.</w:t>
      </w:r>
    </w:p>
    <w:p w:rsidR="00DA66B3" w:rsidRDefault="00131110" w:rsidP="008E3944">
      <w:pPr>
        <w:numPr>
          <w:ilvl w:val="0"/>
          <w:numId w:val="15"/>
        </w:numPr>
        <w:spacing w:before="120"/>
        <w:ind w:left="714" w:hanging="357"/>
        <w:jc w:val="both"/>
        <w:rPr>
          <w:rFonts w:ascii="Arial" w:hAnsi="Arial" w:cs="Arial"/>
          <w:sz w:val="22"/>
          <w:szCs w:val="22"/>
        </w:rPr>
      </w:pPr>
      <w:hyperlink r:id="rId8" w:history="1">
        <w:r w:rsidR="00DA66B3" w:rsidRPr="00104685">
          <w:rPr>
            <w:rStyle w:val="Hyperlink"/>
            <w:rFonts w:ascii="Arial" w:hAnsi="Arial" w:cs="Arial"/>
            <w:sz w:val="22"/>
            <w:szCs w:val="22"/>
          </w:rPr>
          <w:t xml:space="preserve">Government response to the </w:t>
        </w:r>
        <w:r w:rsidR="00DA66B3" w:rsidRPr="00104685">
          <w:rPr>
            <w:rStyle w:val="Hyperlink"/>
            <w:rFonts w:ascii="Arial" w:hAnsi="Arial" w:cs="Arial"/>
            <w:bCs/>
            <w:spacing w:val="-3"/>
            <w:sz w:val="22"/>
            <w:szCs w:val="22"/>
          </w:rPr>
          <w:t>Queensland Workplace Rights Ombudsman and the Queensland Workplace Rights Office</w:t>
        </w:r>
      </w:hyperlink>
      <w:r w:rsidR="00DA66B3">
        <w:rPr>
          <w:rFonts w:ascii="Arial" w:hAnsi="Arial" w:cs="Arial"/>
          <w:bCs/>
          <w:spacing w:val="-3"/>
          <w:sz w:val="22"/>
          <w:szCs w:val="22"/>
        </w:rPr>
        <w:t>.</w:t>
      </w:r>
    </w:p>
    <w:sectPr w:rsidR="00DA66B3" w:rsidSect="00FD4C85">
      <w:headerReference w:type="default" r:id="rId9"/>
      <w:footerReference w:type="default" r:id="rId10"/>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4D" w:rsidRDefault="00F21A4D">
      <w:r>
        <w:separator/>
      </w:r>
    </w:p>
  </w:endnote>
  <w:endnote w:type="continuationSeparator" w:id="0">
    <w:p w:rsidR="00F21A4D" w:rsidRDefault="00F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AB" w:rsidRPr="001141E1" w:rsidRDefault="007172AB"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4D" w:rsidRDefault="00F21A4D">
      <w:r>
        <w:separator/>
      </w:r>
    </w:p>
  </w:footnote>
  <w:footnote w:type="continuationSeparator" w:id="0">
    <w:p w:rsidR="00F21A4D" w:rsidRDefault="00F2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AB" w:rsidRPr="00FD4C85" w:rsidRDefault="00420C75" w:rsidP="00FD4C85">
    <w:pPr>
      <w:pStyle w:val="Header"/>
      <w:ind w:firstLine="2880"/>
      <w:rPr>
        <w:rFonts w:ascii="Arial" w:hAnsi="Arial" w:cs="Arial"/>
        <w:b/>
        <w:sz w:val="22"/>
        <w:szCs w:val="22"/>
        <w:u w:val="single"/>
      </w:rPr>
    </w:pPr>
    <w:r>
      <w:rPr>
        <w:b/>
        <w:noProof/>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-215265</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172AB" w:rsidRPr="00FD4C85">
      <w:rPr>
        <w:rFonts w:ascii="Arial" w:hAnsi="Arial" w:cs="Arial"/>
        <w:b/>
        <w:sz w:val="22"/>
        <w:szCs w:val="22"/>
        <w:u w:val="single"/>
      </w:rPr>
      <w:t>Cabinet – December 2010</w:t>
    </w:r>
  </w:p>
  <w:p w:rsidR="007172AB" w:rsidRPr="00FD4C85" w:rsidRDefault="007172AB" w:rsidP="0039028E">
    <w:pPr>
      <w:keepNext/>
      <w:keepLines/>
      <w:spacing w:before="160"/>
      <w:jc w:val="both"/>
      <w:rPr>
        <w:rFonts w:ascii="Arial" w:hAnsi="Arial"/>
        <w:b/>
        <w:sz w:val="16"/>
        <w:szCs w:val="16"/>
      </w:rPr>
    </w:pPr>
  </w:p>
  <w:p w:rsidR="007172AB" w:rsidRPr="00FD4C85" w:rsidRDefault="007172AB" w:rsidP="00FD4C85">
    <w:pPr>
      <w:keepNext/>
      <w:keepLines/>
      <w:jc w:val="both"/>
      <w:rPr>
        <w:rFonts w:ascii="Arial" w:hAnsi="Arial"/>
        <w:b/>
        <w:sz w:val="22"/>
        <w:u w:val="single"/>
      </w:rPr>
    </w:pPr>
    <w:r w:rsidRPr="00FD4C85">
      <w:rPr>
        <w:rFonts w:ascii="Arial" w:hAnsi="Arial"/>
        <w:b/>
        <w:sz w:val="22"/>
        <w:u w:val="single"/>
      </w:rPr>
      <w:t>The future of the Queensland Workplace Rights Ombudsman</w:t>
    </w:r>
  </w:p>
  <w:p w:rsidR="007172AB" w:rsidRPr="00FF5CDA" w:rsidRDefault="007172AB" w:rsidP="00537CAC">
    <w:pPr>
      <w:pStyle w:val="Header"/>
      <w:spacing w:before="120"/>
      <w:rPr>
        <w:rFonts w:ascii="Arial" w:hAnsi="Arial" w:cs="Arial"/>
        <w:b/>
        <w:sz w:val="22"/>
        <w:szCs w:val="22"/>
        <w:u w:val="single"/>
      </w:rPr>
    </w:pPr>
    <w:r>
      <w:rPr>
        <w:rFonts w:ascii="Arial" w:hAnsi="Arial" w:cs="Arial"/>
        <w:b/>
        <w:sz w:val="22"/>
        <w:szCs w:val="22"/>
        <w:u w:val="single"/>
      </w:rPr>
      <w:t xml:space="preserve">Minister for Education and </w:t>
    </w:r>
    <w:smartTag w:uri="urn:schemas-microsoft-com:office:smarttags" w:element="PlaceType">
      <w:r>
        <w:rPr>
          <w:rFonts w:ascii="Arial" w:hAnsi="Arial" w:cs="Arial"/>
          <w:b/>
          <w:sz w:val="22"/>
          <w:szCs w:val="22"/>
          <w:u w:val="single"/>
        </w:rPr>
        <w:t>Industrial Relations</w:t>
      </w:r>
    </w:smartTag>
  </w:p>
  <w:p w:rsidR="007172AB" w:rsidRPr="00F10DF9" w:rsidRDefault="007172AB"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4A9"/>
    <w:multiLevelType w:val="hybridMultilevel"/>
    <w:tmpl w:val="71AEB22C"/>
    <w:lvl w:ilvl="0" w:tplc="E4A41082">
      <w:start w:val="1"/>
      <w:numFmt w:val="bullet"/>
      <w:lvlText w:val=""/>
      <w:lvlJc w:val="left"/>
      <w:pPr>
        <w:tabs>
          <w:tab w:val="num" w:pos="720"/>
        </w:tabs>
        <w:ind w:left="720" w:hanging="360"/>
      </w:pPr>
      <w:rPr>
        <w:rFonts w:ascii="Symbol" w:hAnsi="Symbol" w:hint="default"/>
        <w:color w:val="auto"/>
      </w:rPr>
    </w:lvl>
    <w:lvl w:ilvl="1" w:tplc="760E7C02">
      <w:start w:val="1"/>
      <w:numFmt w:val="lowerLetter"/>
      <w:lvlText w:val="%2."/>
      <w:lvlJc w:val="left"/>
      <w:pPr>
        <w:tabs>
          <w:tab w:val="num" w:pos="1440"/>
        </w:tabs>
        <w:ind w:left="1440" w:hanging="360"/>
      </w:pPr>
      <w:rPr>
        <w:rFonts w:ascii="Arial" w:hAnsi="Arial" w:cs="Arial" w:hint="default"/>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616E02"/>
    <w:multiLevelType w:val="hybridMultilevel"/>
    <w:tmpl w:val="01F6A262"/>
    <w:lvl w:ilvl="0" w:tplc="F760C070">
      <w:start w:val="1"/>
      <w:numFmt w:val="decimal"/>
      <w:lvlText w:val="%1."/>
      <w:lvlJc w:val="left"/>
      <w:pPr>
        <w:tabs>
          <w:tab w:val="num" w:pos="360"/>
        </w:tabs>
        <w:ind w:left="360" w:hanging="360"/>
      </w:pPr>
      <w:rPr>
        <w:rFonts w:ascii="Arial" w:hAnsi="Arial" w:cs="Arial" w:hint="default"/>
        <w:sz w:val="22"/>
        <w:szCs w:val="22"/>
      </w:rPr>
    </w:lvl>
    <w:lvl w:ilvl="1" w:tplc="0EF40AB6">
      <w:start w:val="1"/>
      <w:numFmt w:val="lowerLetter"/>
      <w:lvlText w:val="(%2)"/>
      <w:lvlJc w:val="left"/>
      <w:pPr>
        <w:tabs>
          <w:tab w:val="num" w:pos="540"/>
        </w:tabs>
        <w:ind w:left="54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3" w15:restartNumberingAfterBreak="0">
    <w:nsid w:val="1DC70E34"/>
    <w:multiLevelType w:val="hybridMultilevel"/>
    <w:tmpl w:val="25FA49C4"/>
    <w:lvl w:ilvl="0" w:tplc="D04229D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5573AB8"/>
    <w:multiLevelType w:val="hybridMultilevel"/>
    <w:tmpl w:val="D764BB4E"/>
    <w:lvl w:ilvl="0" w:tplc="0C09000F">
      <w:start w:val="1"/>
      <w:numFmt w:val="decimal"/>
      <w:lvlText w:val="%1."/>
      <w:lvlJc w:val="left"/>
      <w:pPr>
        <w:tabs>
          <w:tab w:val="num" w:pos="720"/>
        </w:tabs>
        <w:ind w:left="720" w:hanging="360"/>
      </w:pPr>
    </w:lvl>
    <w:lvl w:ilvl="1" w:tplc="29806274">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9DB6C41"/>
    <w:multiLevelType w:val="hybridMultilevel"/>
    <w:tmpl w:val="B14416D4"/>
    <w:lvl w:ilvl="0" w:tplc="0C09000F">
      <w:start w:val="1"/>
      <w:numFmt w:val="decimal"/>
      <w:lvlText w:val="%1."/>
      <w:lvlJc w:val="left"/>
      <w:pPr>
        <w:tabs>
          <w:tab w:val="num" w:pos="776"/>
        </w:tabs>
        <w:ind w:left="776" w:hanging="360"/>
      </w:pPr>
    </w:lvl>
    <w:lvl w:ilvl="1" w:tplc="0C090019">
      <w:start w:val="1"/>
      <w:numFmt w:val="lowerLetter"/>
      <w:lvlText w:val="%2."/>
      <w:lvlJc w:val="left"/>
      <w:pPr>
        <w:tabs>
          <w:tab w:val="num" w:pos="1496"/>
        </w:tabs>
        <w:ind w:left="1496"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2BB15F5D"/>
    <w:multiLevelType w:val="hybridMultilevel"/>
    <w:tmpl w:val="2F8EB428"/>
    <w:lvl w:ilvl="0" w:tplc="D04229D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96D4592"/>
    <w:multiLevelType w:val="hybridMultilevel"/>
    <w:tmpl w:val="496ADE2A"/>
    <w:lvl w:ilvl="0" w:tplc="D04229D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5BE4382"/>
    <w:multiLevelType w:val="hybridMultilevel"/>
    <w:tmpl w:val="E03866CA"/>
    <w:lvl w:ilvl="0" w:tplc="C986AB6E">
      <w:start w:val="1"/>
      <w:numFmt w:val="decimal"/>
      <w:lvlText w:val="%1."/>
      <w:lvlJc w:val="left"/>
      <w:pPr>
        <w:tabs>
          <w:tab w:val="num" w:pos="360"/>
        </w:tabs>
        <w:ind w:left="360" w:hanging="360"/>
      </w:pPr>
      <w:rPr>
        <w:b w:val="0"/>
        <w:color w:val="auto"/>
      </w:rPr>
    </w:lvl>
    <w:lvl w:ilvl="1" w:tplc="5B8435E0">
      <w:start w:val="1"/>
      <w:numFmt w:val="bullet"/>
      <w:lvlText w:val=""/>
      <w:lvlJc w:val="left"/>
      <w:pPr>
        <w:tabs>
          <w:tab w:val="num" w:pos="1080"/>
        </w:tabs>
        <w:ind w:left="1080" w:hanging="360"/>
      </w:pPr>
      <w:rPr>
        <w:rFonts w:ascii="Symbol" w:hAnsi="Symbol" w:hint="default"/>
        <w:b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0B3013"/>
    <w:multiLevelType w:val="hybridMultilevel"/>
    <w:tmpl w:val="0496623A"/>
    <w:lvl w:ilvl="0" w:tplc="D09099B0">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C481C58"/>
    <w:multiLevelType w:val="hybridMultilevel"/>
    <w:tmpl w:val="40320C16"/>
    <w:lvl w:ilvl="0" w:tplc="25082D0A">
      <w:start w:val="1"/>
      <w:numFmt w:val="decimal"/>
      <w:lvlText w:val="%1."/>
      <w:lvlJc w:val="left"/>
      <w:pPr>
        <w:tabs>
          <w:tab w:val="num" w:pos="360"/>
        </w:tabs>
        <w:ind w:left="360" w:hanging="360"/>
      </w:pPr>
      <w:rPr>
        <w:i w:val="0"/>
      </w:rPr>
    </w:lvl>
    <w:lvl w:ilvl="1" w:tplc="760E7C02">
      <w:start w:val="1"/>
      <w:numFmt w:val="lowerLetter"/>
      <w:lvlText w:val="%2."/>
      <w:lvlJc w:val="left"/>
      <w:pPr>
        <w:tabs>
          <w:tab w:val="num" w:pos="1080"/>
        </w:tabs>
        <w:ind w:left="1080" w:hanging="360"/>
      </w:pPr>
      <w:rPr>
        <w:rFonts w:ascii="Arial" w:hAnsi="Arial" w:cs="Arial" w:hint="default"/>
        <w:sz w:val="22"/>
        <w:szCs w:val="22"/>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0"/>
  </w:num>
  <w:num w:numId="4">
    <w:abstractNumId w:val="2"/>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2"/>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1"/>
  </w:num>
  <w:num w:numId="7">
    <w:abstractNumId w:val="2"/>
    <w:lvlOverride w:ilvl="0">
      <w:lvl w:ilvl="0">
        <w:start w:val="1"/>
        <w:numFmt w:val="decimal"/>
        <w:pStyle w:val="StyleJustified"/>
        <w:lvlText w:val="%1."/>
        <w:lvlJc w:val="left"/>
        <w:pPr>
          <w:tabs>
            <w:tab w:val="num" w:pos="993"/>
          </w:tabs>
          <w:ind w:left="993" w:hanging="567"/>
        </w:pPr>
        <w:rPr>
          <w:rFonts w:hint="default"/>
          <w:i w:val="0"/>
          <w:spacing w:val="20"/>
          <w:position w:val="0"/>
        </w:rPr>
      </w:lvl>
    </w:lvlOverride>
  </w:num>
  <w:num w:numId="8">
    <w:abstractNumId w:val="4"/>
  </w:num>
  <w:num w:numId="9">
    <w:abstractNumId w:val="6"/>
  </w:num>
  <w:num w:numId="10">
    <w:abstractNumId w:val="3"/>
  </w:num>
  <w:num w:numId="11">
    <w:abstractNumId w:val="7"/>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111F0"/>
    <w:rsid w:val="00025E1F"/>
    <w:rsid w:val="00033555"/>
    <w:rsid w:val="0005445D"/>
    <w:rsid w:val="0008365A"/>
    <w:rsid w:val="00094A7F"/>
    <w:rsid w:val="000A62B5"/>
    <w:rsid w:val="000B4BDC"/>
    <w:rsid w:val="00104685"/>
    <w:rsid w:val="00131110"/>
    <w:rsid w:val="001311CF"/>
    <w:rsid w:val="00133BFE"/>
    <w:rsid w:val="00157484"/>
    <w:rsid w:val="001659CF"/>
    <w:rsid w:val="001862DC"/>
    <w:rsid w:val="001D2988"/>
    <w:rsid w:val="001E67E4"/>
    <w:rsid w:val="0020348B"/>
    <w:rsid w:val="00223B6C"/>
    <w:rsid w:val="0023457A"/>
    <w:rsid w:val="0024130C"/>
    <w:rsid w:val="00267B5E"/>
    <w:rsid w:val="002A2A2D"/>
    <w:rsid w:val="002D39E8"/>
    <w:rsid w:val="002F04DA"/>
    <w:rsid w:val="0031608B"/>
    <w:rsid w:val="00362B11"/>
    <w:rsid w:val="0037200C"/>
    <w:rsid w:val="0039028E"/>
    <w:rsid w:val="003A6060"/>
    <w:rsid w:val="003C548D"/>
    <w:rsid w:val="003E6039"/>
    <w:rsid w:val="00420C75"/>
    <w:rsid w:val="00446097"/>
    <w:rsid w:val="004A0014"/>
    <w:rsid w:val="004E2013"/>
    <w:rsid w:val="00537CAC"/>
    <w:rsid w:val="005A3E48"/>
    <w:rsid w:val="005B3C4F"/>
    <w:rsid w:val="005C2255"/>
    <w:rsid w:val="005E1CFA"/>
    <w:rsid w:val="005F120D"/>
    <w:rsid w:val="005F4CBD"/>
    <w:rsid w:val="006025B6"/>
    <w:rsid w:val="0063067C"/>
    <w:rsid w:val="00640469"/>
    <w:rsid w:val="00655C29"/>
    <w:rsid w:val="00660FCA"/>
    <w:rsid w:val="006A1B4D"/>
    <w:rsid w:val="006C0F3F"/>
    <w:rsid w:val="006C26D9"/>
    <w:rsid w:val="006C657B"/>
    <w:rsid w:val="0071443D"/>
    <w:rsid w:val="007172AB"/>
    <w:rsid w:val="0072321A"/>
    <w:rsid w:val="007E5B12"/>
    <w:rsid w:val="00814D1F"/>
    <w:rsid w:val="008561FB"/>
    <w:rsid w:val="00880521"/>
    <w:rsid w:val="0088767C"/>
    <w:rsid w:val="00891ED0"/>
    <w:rsid w:val="008A204D"/>
    <w:rsid w:val="008B4D96"/>
    <w:rsid w:val="008C272F"/>
    <w:rsid w:val="008E3944"/>
    <w:rsid w:val="00907DBE"/>
    <w:rsid w:val="0094319B"/>
    <w:rsid w:val="009749E3"/>
    <w:rsid w:val="00981CE0"/>
    <w:rsid w:val="009A12E3"/>
    <w:rsid w:val="00A053FE"/>
    <w:rsid w:val="00A26602"/>
    <w:rsid w:val="00AA74CB"/>
    <w:rsid w:val="00AC0EE9"/>
    <w:rsid w:val="00AF1E2D"/>
    <w:rsid w:val="00B0191B"/>
    <w:rsid w:val="00B32139"/>
    <w:rsid w:val="00B35C8F"/>
    <w:rsid w:val="00B648DA"/>
    <w:rsid w:val="00B779C1"/>
    <w:rsid w:val="00C26ECC"/>
    <w:rsid w:val="00C4094C"/>
    <w:rsid w:val="00C865CB"/>
    <w:rsid w:val="00CB1337"/>
    <w:rsid w:val="00D24DA7"/>
    <w:rsid w:val="00D37F46"/>
    <w:rsid w:val="00D441D2"/>
    <w:rsid w:val="00D47A73"/>
    <w:rsid w:val="00D634B0"/>
    <w:rsid w:val="00D65FA7"/>
    <w:rsid w:val="00DA66B3"/>
    <w:rsid w:val="00DA6BC3"/>
    <w:rsid w:val="00DB232D"/>
    <w:rsid w:val="00DC2A7F"/>
    <w:rsid w:val="00E03AB5"/>
    <w:rsid w:val="00E16B25"/>
    <w:rsid w:val="00E36044"/>
    <w:rsid w:val="00F21A4D"/>
    <w:rsid w:val="00F361CE"/>
    <w:rsid w:val="00F4765F"/>
    <w:rsid w:val="00F52753"/>
    <w:rsid w:val="00F624C3"/>
    <w:rsid w:val="00F67BF3"/>
    <w:rsid w:val="00F81160"/>
    <w:rsid w:val="00FD4C85"/>
    <w:rsid w:val="00FE54D0"/>
    <w:rsid w:val="00FF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8E"/>
    <w:rPr>
      <w:sz w:val="24"/>
      <w:szCs w:val="24"/>
    </w:rPr>
  </w:style>
  <w:style w:type="paragraph" w:styleId="Heading2">
    <w:name w:val="heading 2"/>
    <w:basedOn w:val="Normal"/>
    <w:next w:val="Normal"/>
    <w:qFormat/>
    <w:rsid w:val="00446097"/>
    <w:pPr>
      <w:keepNext/>
      <w:widowControl w:val="0"/>
      <w:tabs>
        <w:tab w:val="left" w:pos="0"/>
        <w:tab w:val="left" w:pos="592"/>
        <w:tab w:val="left" w:pos="1185"/>
        <w:tab w:val="left" w:pos="1778"/>
        <w:tab w:val="left" w:pos="2371"/>
        <w:tab w:val="left" w:pos="2964"/>
        <w:tab w:val="left" w:pos="3556"/>
        <w:tab w:val="left" w:pos="4149"/>
        <w:tab w:val="left" w:pos="4742"/>
        <w:tab w:val="left" w:pos="5335"/>
        <w:tab w:val="left" w:pos="5928"/>
        <w:tab w:val="left" w:pos="6520"/>
        <w:tab w:val="left" w:pos="7113"/>
        <w:tab w:val="left" w:pos="7706"/>
        <w:tab w:val="left" w:pos="8299"/>
      </w:tabs>
      <w:jc w:val="both"/>
      <w:outlineLvl w:val="1"/>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16"/>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paragraph" w:customStyle="1" w:styleId="CharChar2CharCharCharChar">
    <w:name w:val="Char Char2 Char Char Char Char"/>
    <w:basedOn w:val="Normal"/>
    <w:rsid w:val="00FF5CDA"/>
    <w:rPr>
      <w:rFonts w:ascii="Arial" w:hAnsi="Arial"/>
      <w:sz w:val="22"/>
      <w:szCs w:val="20"/>
      <w:lang w:val="en-GB" w:eastAsia="en-US"/>
    </w:rPr>
  </w:style>
  <w:style w:type="character" w:styleId="Hyperlink">
    <w:name w:val="Hyperlink"/>
    <w:basedOn w:val="DefaultParagraphFont"/>
    <w:rsid w:val="00104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8177">
      <w:bodyDiv w:val="1"/>
      <w:marLeft w:val="0"/>
      <w:marRight w:val="0"/>
      <w:marTop w:val="0"/>
      <w:marBottom w:val="0"/>
      <w:divBdr>
        <w:top w:val="none" w:sz="0" w:space="0" w:color="auto"/>
        <w:left w:val="none" w:sz="0" w:space="0" w:color="auto"/>
        <w:bottom w:val="none" w:sz="0" w:space="0" w:color="auto"/>
        <w:right w:val="none" w:sz="0" w:space="0" w:color="auto"/>
      </w:divBdr>
    </w:div>
    <w:div w:id="1800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SIR-publication-of-queensland-government-response-to-review-of-QWRO%5b1%5d.pdf" TargetMode="External"/><Relationship Id="rId3" Type="http://schemas.openxmlformats.org/officeDocument/2006/relationships/settings" Target="settings.xml"/><Relationship Id="rId7" Type="http://schemas.openxmlformats.org/officeDocument/2006/relationships/hyperlink" Target="Attachments/review-of-the-role-and-functions-of-the-QWRO%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1367</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1603</CharactersWithSpaces>
  <SharedDoc>false</SharedDoc>
  <HyperlinkBase>https://www.cabinet.qld.gov.au/documents/2010/Dec/Qld Workplace Rights Ombudsman/</HyperlinkBase>
  <HLinks>
    <vt:vector size="12" baseType="variant">
      <vt:variant>
        <vt:i4>2818104</vt:i4>
      </vt:variant>
      <vt:variant>
        <vt:i4>3</vt:i4>
      </vt:variant>
      <vt:variant>
        <vt:i4>0</vt:i4>
      </vt:variant>
      <vt:variant>
        <vt:i4>5</vt:i4>
      </vt:variant>
      <vt:variant>
        <vt:lpwstr>Attachments/PSIR-publication-of-queensland-government-response-to-review-of-QWRO%5b1%5d.pdf</vt:lpwstr>
      </vt:variant>
      <vt:variant>
        <vt:lpwstr/>
      </vt:variant>
      <vt:variant>
        <vt:i4>3407987</vt:i4>
      </vt:variant>
      <vt:variant>
        <vt:i4>0</vt:i4>
      </vt:variant>
      <vt:variant>
        <vt:i4>0</vt:i4>
      </vt:variant>
      <vt:variant>
        <vt:i4>5</vt:i4>
      </vt:variant>
      <vt:variant>
        <vt:lpwstr>Attachments/review-of-the-role-and-functions-of-the-QWRO%5b1%5d.pdf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2011-10-11T07:03:00Z</cp:lastPrinted>
  <dcterms:created xsi:type="dcterms:W3CDTF">2017-10-24T22:18:00Z</dcterms:created>
  <dcterms:modified xsi:type="dcterms:W3CDTF">2018-03-06T01:01:00Z</dcterms:modified>
  <cp:category>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-19422138</vt:i4>
  </property>
  <property fmtid="{D5CDD505-2E9C-101B-9397-08002B2CF9AE}" pid="4" name="_PreviousAdHocReviewCycleID">
    <vt:i4>1244056974</vt:i4>
  </property>
  <property fmtid="{D5CDD505-2E9C-101B-9397-08002B2CF9AE}" pid="5" name="_ReviewingToolsShownOnce">
    <vt:lpwstr/>
  </property>
</Properties>
</file>